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EFFICACY AND SURVIVAL IN PATIENTS WITH CARDIAC CONTRACTILITY MODULATION: LONG-TERM SINGLE CENTER EXPERIENCE IN 81 PATIENTS </w:t>
      </w:r>
    </w:p>
    <w:p w:rsidR="00743305" w:rsidRDefault="00B921ED" w:rsidP="00743305">
      <w:pPr>
        <w:widowControl w:val="0"/>
        <w:autoSpaceDE w:val="0"/>
        <w:autoSpaceDN w:val="0"/>
        <w:adjustRightInd w:val="0"/>
      </w:pPr>
      <w:r w:rsidRPr="00743305">
        <w:rPr>
          <w:b/>
          <w:bCs/>
          <w:u w:val="single"/>
        </w:rPr>
        <w:t>J</w:t>
      </w:r>
      <w:r w:rsidR="00743305" w:rsidRPr="00743305">
        <w:rPr>
          <w:b/>
          <w:bCs/>
          <w:u w:val="single"/>
        </w:rPr>
        <w:t>.</w:t>
      </w:r>
      <w:r w:rsidRPr="00743305">
        <w:rPr>
          <w:b/>
          <w:bCs/>
          <w:u w:val="single"/>
        </w:rPr>
        <w:t xml:space="preserve"> Kuschyk</w:t>
      </w:r>
      <w:r w:rsidR="00743305" w:rsidRPr="00743305">
        <w:rPr>
          <w:b/>
          <w:bCs/>
          <w:u w:val="single"/>
          <w:vertAlign w:val="superscript"/>
        </w:rPr>
        <w:t>1</w:t>
      </w:r>
      <w:r>
        <w:t>, S</w:t>
      </w:r>
      <w:r w:rsidR="00743305">
        <w:t>.</w:t>
      </w:r>
      <w:r>
        <w:t xml:space="preserve"> Roeger</w:t>
      </w:r>
      <w:r w:rsidR="00743305" w:rsidRPr="00743305">
        <w:rPr>
          <w:vertAlign w:val="superscript"/>
        </w:rPr>
        <w:t>1</w:t>
      </w:r>
      <w:r>
        <w:t>, B</w:t>
      </w:r>
      <w:r w:rsidR="00743305">
        <w:t>.</w:t>
      </w:r>
      <w:r>
        <w:t xml:space="preserve"> Rudic</w:t>
      </w:r>
      <w:r w:rsidR="00743305" w:rsidRPr="00743305">
        <w:rPr>
          <w:vertAlign w:val="superscript"/>
        </w:rPr>
        <w:t>1</w:t>
      </w:r>
      <w:r>
        <w:t>, K</w:t>
      </w:r>
      <w:r w:rsidR="00743305">
        <w:t>.</w:t>
      </w:r>
      <w:r>
        <w:t xml:space="preserve"> Stach</w:t>
      </w:r>
      <w:r w:rsidR="00743305" w:rsidRPr="00743305">
        <w:rPr>
          <w:vertAlign w:val="superscript"/>
        </w:rPr>
        <w:t>1</w:t>
      </w:r>
      <w:r>
        <w:t>, C</w:t>
      </w:r>
      <w:r w:rsidR="00743305">
        <w:t>.</w:t>
      </w:r>
      <w:r>
        <w:t xml:space="preserve"> Weiss</w:t>
      </w:r>
      <w:r w:rsidR="00743305" w:rsidRPr="00743305">
        <w:rPr>
          <w:vertAlign w:val="superscript"/>
        </w:rPr>
        <w:t>1</w:t>
      </w:r>
      <w:r>
        <w:t>, T</w:t>
      </w:r>
      <w:r w:rsidR="00743305">
        <w:t>.</w:t>
      </w:r>
      <w:r>
        <w:t xml:space="preserve"> Papavassilliu</w:t>
      </w:r>
      <w:r w:rsidR="00743305" w:rsidRPr="00743305">
        <w:rPr>
          <w:vertAlign w:val="superscript"/>
        </w:rPr>
        <w:t>1</w:t>
      </w:r>
      <w:r>
        <w:t>, B</w:t>
      </w:r>
      <w:r w:rsidR="00743305">
        <w:t>.</w:t>
      </w:r>
      <w:r>
        <w:t xml:space="preserve"> Rousso</w:t>
      </w:r>
      <w:r w:rsidR="00743305" w:rsidRPr="00743305">
        <w:rPr>
          <w:vertAlign w:val="superscript"/>
        </w:rPr>
        <w:t>3</w:t>
      </w:r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D</w:t>
      </w:r>
      <w:r w:rsidR="00743305">
        <w:t>.</w:t>
      </w:r>
      <w:r>
        <w:t xml:space="preserve"> Burkhoff</w:t>
      </w:r>
      <w:r w:rsidR="00743305" w:rsidRPr="00743305">
        <w:rPr>
          <w:vertAlign w:val="superscript"/>
        </w:rPr>
        <w:t>4</w:t>
      </w:r>
      <w:r>
        <w:t>, M</w:t>
      </w:r>
      <w:r w:rsidR="00743305">
        <w:t>.</w:t>
      </w:r>
      <w:r>
        <w:t xml:space="preserve"> Borggrefe</w:t>
      </w:r>
      <w:r w:rsidR="00743305" w:rsidRPr="00743305">
        <w:rPr>
          <w:vertAlign w:val="superscript"/>
        </w:rPr>
        <w:t>1</w:t>
      </w:r>
    </w:p>
    <w:p w:rsidR="00743305" w:rsidRDefault="00743305" w:rsidP="007433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University Medical Centre, I. Medical Department, Mannheim, Germany</w:t>
      </w:r>
    </w:p>
    <w:p w:rsidR="00743305" w:rsidRDefault="00743305" w:rsidP="007433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University Medical Centre, Institute for Medical Statistics, Mannheim, Germany</w:t>
      </w:r>
    </w:p>
    <w:p w:rsidR="00743305" w:rsidRDefault="00743305" w:rsidP="007433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IMPULSE Dynamics, Orangeburg, NY, USA</w:t>
      </w:r>
    </w:p>
    <w:p w:rsidR="00B921ED" w:rsidRDefault="00743305" w:rsidP="00743305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Columbia University, Cardiology,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B0EC7" w:rsidRDefault="00B921ED">
      <w:pPr>
        <w:widowControl w:val="0"/>
        <w:autoSpaceDE w:val="0"/>
        <w:autoSpaceDN w:val="0"/>
        <w:adjustRightInd w:val="0"/>
        <w:jc w:val="both"/>
      </w:pPr>
      <w:r w:rsidRPr="000B0EC7">
        <w:rPr>
          <w:i/>
          <w:iCs/>
        </w:rPr>
        <w:t>Aims:</w:t>
      </w:r>
      <w:r>
        <w:t xml:space="preserve"> To analyze long-term efficacy and survival in patients with chronic heart failure treated with cardiac contractility modulation.</w:t>
      </w:r>
    </w:p>
    <w:p w:rsidR="000B0EC7" w:rsidRDefault="00B921ED">
      <w:pPr>
        <w:widowControl w:val="0"/>
        <w:autoSpaceDE w:val="0"/>
        <w:autoSpaceDN w:val="0"/>
        <w:adjustRightInd w:val="0"/>
        <w:jc w:val="both"/>
      </w:pPr>
      <w:r w:rsidRPr="000B0EC7">
        <w:rPr>
          <w:i/>
          <w:iCs/>
        </w:rPr>
        <w:t>Methods:</w:t>
      </w:r>
      <w:r>
        <w:t xml:space="preserve"> 81 patients implanted with a CCM device between 2004 and 2012 were included in this retrospective analysis. Changes in NYHA class, ejection fraction (EF), Minnesota Living with Heart Failure Questionnaire, </w:t>
      </w:r>
      <w:proofErr w:type="spellStart"/>
      <w:r>
        <w:t>NTproBNPand</w:t>
      </w:r>
      <w:proofErr w:type="spellEnd"/>
      <w:r>
        <w:t xml:space="preserve"> peak VO2 were analyzed during a mean follow up of 34.2 ± 28 months (6–123 months). Observed mortality rate was compared with that predicted by the MAGGIC Score.</w:t>
      </w:r>
    </w:p>
    <w:p w:rsidR="000B0EC7" w:rsidRDefault="00B921ED">
      <w:pPr>
        <w:widowControl w:val="0"/>
        <w:autoSpaceDE w:val="0"/>
        <w:autoSpaceDN w:val="0"/>
        <w:adjustRightInd w:val="0"/>
        <w:jc w:val="both"/>
      </w:pPr>
      <w:r w:rsidRPr="000B0EC7">
        <w:rPr>
          <w:i/>
          <w:iCs/>
        </w:rPr>
        <w:t>Results:</w:t>
      </w:r>
      <w:r>
        <w:t xml:space="preserve"> Patients were 61 ± 12 years old with EF 23 ± 7%. Heart failure was due to ischemic (n= 48, 59.3%) or idiopathic dilated (n=33, 40.7%) cardiomyopathy. EF increased from 23.1±7.9 to 29.4±8.6% (p b 0.05), </w:t>
      </w:r>
      <w:proofErr w:type="spellStart"/>
      <w:r>
        <w:t>meanNT-proBNP</w:t>
      </w:r>
      <w:proofErr w:type="spellEnd"/>
      <w:r>
        <w:t xml:space="preserve"> decreased from 4395 ± 3818 to 2762 ± 3490 ng/l (p b 0.05) and mean peak VO2 increased from 13.9 ± 3.3 to 14.6 ± 3.5 ml/kg/min (p= 0.1). The overall clinical responder rate (at least 1 class improvement of NYHA within 6 months or last follow-up) was 74.1%. 21 (25.9%) patients died during follow up, 11 (52.4%) due to cardiac conditions and 10 (47.6%) due to non-cardiac conditions. Mortality rates at 1 and 3 years were 5.2% and 29.5% compared to mortality rates estimated from the MAGGIC risk score of 18.4% (p b 0.001) and 40% (p = ns), respectively. Log-Rank analysis of all events through 3 years of follow-up, however, was significantly less than predicted (p= 0.022).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0B0EC7">
        <w:rPr>
          <w:i/>
          <w:iCs/>
        </w:rPr>
        <w:t>Conclusions:</w:t>
      </w:r>
      <w:r>
        <w:t xml:space="preserve"> </w:t>
      </w:r>
      <w:proofErr w:type="spellStart"/>
      <w:r>
        <w:t>CCMtherapy</w:t>
      </w:r>
      <w:proofErr w:type="spellEnd"/>
      <w:r>
        <w:t xml:space="preserve"> improved quality of life, exercise capacity, NYHA class, </w:t>
      </w:r>
      <w:proofErr w:type="gramStart"/>
      <w:r>
        <w:t>EF</w:t>
      </w:r>
      <w:proofErr w:type="gramEnd"/>
      <w:r>
        <w:t xml:space="preserve"> and NT-</w:t>
      </w:r>
      <w:proofErr w:type="spellStart"/>
      <w:r>
        <w:t>proBNP</w:t>
      </w:r>
      <w:proofErr w:type="spellEnd"/>
      <w:r>
        <w:t xml:space="preserve"> levels during long-term follow up. Mortality rates appeared to be lower than estimated from the MAGGIC score.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CF" w:rsidRDefault="00A042CF" w:rsidP="00743305">
      <w:r>
        <w:separator/>
      </w:r>
    </w:p>
  </w:endnote>
  <w:endnote w:type="continuationSeparator" w:id="0">
    <w:p w:rsidR="00A042CF" w:rsidRDefault="00A042CF" w:rsidP="007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CF" w:rsidRDefault="00A042CF" w:rsidP="00743305">
      <w:r>
        <w:separator/>
      </w:r>
    </w:p>
  </w:footnote>
  <w:footnote w:type="continuationSeparator" w:id="0">
    <w:p w:rsidR="00A042CF" w:rsidRDefault="00A042CF" w:rsidP="0074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05" w:rsidRDefault="00743305" w:rsidP="00743305">
    <w:pPr>
      <w:pStyle w:val="Header"/>
    </w:pPr>
    <w:r>
      <w:t xml:space="preserve">1118    either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Internal defibrillation/implantable antiarrhythmic devices/pacing</w:t>
    </w:r>
  </w:p>
  <w:p w:rsidR="00743305" w:rsidRDefault="00743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B0EC7"/>
    <w:rsid w:val="002D334A"/>
    <w:rsid w:val="00447B2F"/>
    <w:rsid w:val="00743305"/>
    <w:rsid w:val="00A042C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D33C8A-C257-4C45-83D3-F3F4E58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2016-02-27T18:50:00Z</dcterms:created>
  <dcterms:modified xsi:type="dcterms:W3CDTF">2016-02-27T18:54:00Z</dcterms:modified>
</cp:coreProperties>
</file>